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d</w:t>
      </w:r>
      <w:r w:rsidRPr="00E31B91">
        <w:rPr>
          <w:rFonts w:ascii="Arial" w:hAnsi="Arial" w:cs="Arial"/>
          <w:sz w:val="24"/>
        </w:rPr>
        <w:t>er Evangelisch-Lutherischen Kirche in Norddeutschland im Monat</w:t>
      </w:r>
      <w:r w:rsidR="002A4610">
        <w:rPr>
          <w:rFonts w:ascii="Arial" w:hAnsi="Arial" w:cs="Arial"/>
          <w:sz w:val="24"/>
        </w:rPr>
        <w:t xml:space="preserve"> Mai 2</w:t>
      </w:r>
      <w:r w:rsidR="00603D77">
        <w:rPr>
          <w:rFonts w:ascii="Arial" w:hAnsi="Arial" w:cs="Arial"/>
          <w:sz w:val="24"/>
        </w:rPr>
        <w:t>023</w:t>
      </w:r>
    </w:p>
    <w:p w:rsidR="00E31B91" w:rsidRPr="00E31B91" w:rsidRDefault="00E31B91" w:rsidP="00E31B91"/>
    <w:p w:rsidR="002A4610" w:rsidRPr="002A4610" w:rsidRDefault="002A4610" w:rsidP="002A4610">
      <w:pPr>
        <w:jc w:val="both"/>
        <w:rPr>
          <w:rFonts w:ascii="Arial" w:eastAsia="Calibri" w:hAnsi="Arial" w:cs="Arial"/>
          <w:bCs/>
          <w:lang w:bidi="de-DE"/>
        </w:rPr>
      </w:pPr>
    </w:p>
    <w:p w:rsidR="002A4610" w:rsidRPr="002A4610" w:rsidRDefault="002A4610" w:rsidP="002A4610">
      <w:pPr>
        <w:jc w:val="both"/>
        <w:rPr>
          <w:rFonts w:ascii="Arial" w:eastAsia="Calibri" w:hAnsi="Arial" w:cs="Arial"/>
          <w:b/>
          <w:bCs/>
          <w:lang w:bidi="de-DE"/>
        </w:rPr>
      </w:pPr>
      <w:r w:rsidRPr="002A4610">
        <w:rPr>
          <w:rFonts w:ascii="Arial" w:eastAsia="Calibri" w:hAnsi="Arial" w:cs="Arial"/>
          <w:b/>
          <w:bCs/>
          <w:lang w:bidi="de-DE"/>
        </w:rPr>
        <w:t>Landeskirchenweite Kollekte am 28. Mai (Pfingstsonntag)</w:t>
      </w:r>
    </w:p>
    <w:p w:rsidR="002A4610" w:rsidRPr="002A4610" w:rsidRDefault="002A4610" w:rsidP="002A4610">
      <w:pPr>
        <w:jc w:val="both"/>
        <w:rPr>
          <w:rFonts w:ascii="Arial" w:eastAsia="Calibri" w:hAnsi="Arial" w:cs="Arial"/>
          <w:b/>
          <w:bCs/>
          <w:lang w:bidi="de-DE"/>
        </w:rPr>
      </w:pPr>
      <w:r w:rsidRPr="002A4610">
        <w:rPr>
          <w:rFonts w:ascii="Arial" w:eastAsia="Calibri" w:hAnsi="Arial" w:cs="Arial"/>
          <w:b/>
          <w:bCs/>
          <w:lang w:bidi="de-DE"/>
        </w:rPr>
        <w:t>Ökumenisches Opfer 2023</w:t>
      </w:r>
    </w:p>
    <w:p w:rsidR="002A4610" w:rsidRPr="002A4610" w:rsidRDefault="002A4610" w:rsidP="002A4610">
      <w:pPr>
        <w:jc w:val="both"/>
        <w:rPr>
          <w:rFonts w:ascii="Arial" w:eastAsia="Calibri" w:hAnsi="Arial" w:cs="Arial"/>
          <w:bCs/>
          <w:lang w:bidi="de-DE"/>
        </w:rPr>
      </w:pPr>
      <w:r w:rsidRPr="002A4610">
        <w:rPr>
          <w:rFonts w:ascii="Arial" w:eastAsia="Calibri" w:hAnsi="Arial" w:cs="Arial"/>
          <w:bCs/>
          <w:lang w:bidi="de-DE"/>
        </w:rPr>
        <w:t>Heute sammeln wir für Projekte, die anlässlich der Gebetswoche für die Einheit der Christinnen und Christen unterstützt werden.</w:t>
      </w:r>
    </w:p>
    <w:p w:rsidR="002A4610" w:rsidRPr="002A4610" w:rsidRDefault="002A4610" w:rsidP="002A4610">
      <w:pPr>
        <w:jc w:val="both"/>
        <w:rPr>
          <w:rFonts w:ascii="Arial" w:eastAsia="Calibri" w:hAnsi="Arial" w:cs="Arial"/>
          <w:bCs/>
          <w:lang w:bidi="de-DE"/>
        </w:rPr>
      </w:pPr>
      <w:r w:rsidRPr="002A4610">
        <w:rPr>
          <w:rFonts w:ascii="Arial" w:eastAsia="Calibri" w:hAnsi="Arial" w:cs="Arial"/>
          <w:bCs/>
          <w:lang w:bidi="de-DE"/>
        </w:rPr>
        <w:t xml:space="preserve">Das erste Projekt unterstützt in Bulgarien das sozialdiakonische Engagement der orthodoxen Kirche für alte Menschen und Menschen mit Behinderung. </w:t>
      </w:r>
    </w:p>
    <w:p w:rsidR="002A4610" w:rsidRPr="002A4610" w:rsidRDefault="002A4610" w:rsidP="002A4610">
      <w:pPr>
        <w:jc w:val="both"/>
        <w:rPr>
          <w:rFonts w:ascii="Arial" w:eastAsia="Calibri" w:hAnsi="Arial" w:cs="Arial"/>
          <w:bCs/>
          <w:lang w:bidi="de-DE"/>
        </w:rPr>
      </w:pPr>
      <w:r w:rsidRPr="002A4610">
        <w:rPr>
          <w:rFonts w:ascii="Arial" w:eastAsia="Calibri" w:hAnsi="Arial" w:cs="Arial"/>
          <w:bCs/>
          <w:lang w:bidi="de-DE"/>
        </w:rPr>
        <w:t xml:space="preserve">Das zweite Projekt will Frauen in Guatemala ein gewaltfreies Leben ermöglichen. Dafür wird in Bildung investiert, werden Programme zur Gewaltprävention entwickelt und durch Lobbyarbeit Gesetze erwirkt, die Frauen vor Gewalt schützen. </w:t>
      </w:r>
    </w:p>
    <w:p w:rsidR="002A4610" w:rsidRPr="002A4610" w:rsidRDefault="002A4610" w:rsidP="002A4610">
      <w:pPr>
        <w:jc w:val="both"/>
        <w:rPr>
          <w:rFonts w:ascii="Arial" w:eastAsia="Calibri" w:hAnsi="Arial" w:cs="Arial"/>
          <w:bCs/>
          <w:lang w:bidi="de-DE"/>
        </w:rPr>
      </w:pPr>
      <w:r w:rsidRPr="002A4610">
        <w:rPr>
          <w:rFonts w:ascii="Arial" w:eastAsia="Calibri" w:hAnsi="Arial" w:cs="Arial"/>
          <w:bCs/>
          <w:lang w:bidi="de-DE"/>
        </w:rPr>
        <w:t>Das dritte Projekt hat Kinder im Kongo im Blick. Insbesondere Kindern in Gefängnissen und auf der Straße soll hierdurch eine Perspektive für ein normales Leben gegeben werden.</w:t>
      </w:r>
    </w:p>
    <w:p w:rsidR="002A4610" w:rsidRPr="002A4610" w:rsidRDefault="002A4610" w:rsidP="002A4610">
      <w:pPr>
        <w:jc w:val="both"/>
        <w:rPr>
          <w:rFonts w:ascii="Arial" w:eastAsia="Calibri" w:hAnsi="Arial" w:cs="Arial"/>
          <w:bCs/>
          <w:lang w:bidi="de-DE"/>
        </w:rPr>
      </w:pPr>
      <w:r w:rsidRPr="002A4610">
        <w:rPr>
          <w:rFonts w:ascii="Arial" w:eastAsia="Calibri" w:hAnsi="Arial" w:cs="Arial"/>
          <w:bCs/>
          <w:lang w:bidi="de-DE"/>
        </w:rPr>
        <w:t xml:space="preserve">Die Gebetswoche verantwortet die ACK, das ist die Arbeitsgemeinschaft Christlicher Kirchen in Deutschland. Informationen zu den Spendenprojekten finden Sie auf der Internetseite www.gebetswoche.de. </w:t>
      </w:r>
    </w:p>
    <w:p w:rsidR="002A4610" w:rsidRPr="002A4610" w:rsidRDefault="002A4610" w:rsidP="002A4610">
      <w:pPr>
        <w:jc w:val="both"/>
        <w:rPr>
          <w:rFonts w:ascii="Arial" w:eastAsia="Calibri" w:hAnsi="Arial" w:cs="Arial"/>
          <w:bCs/>
          <w:lang w:bidi="de-DE"/>
        </w:rPr>
      </w:pPr>
      <w:r w:rsidRPr="002A4610">
        <w:rPr>
          <w:rFonts w:ascii="Arial" w:eastAsia="Calibri" w:hAnsi="Arial" w:cs="Arial"/>
          <w:bCs/>
          <w:lang w:bidi="de-DE"/>
        </w:rPr>
        <w:t xml:space="preserve">Mit jeder einzelnen Gabe werden Menschen neue Perspektiven und Lebenschancen eröffnet. Vielen Dank! </w:t>
      </w:r>
    </w:p>
    <w:p w:rsidR="002A4610" w:rsidRPr="002A4610" w:rsidRDefault="002A4610" w:rsidP="002A4610">
      <w:pPr>
        <w:jc w:val="both"/>
        <w:rPr>
          <w:rFonts w:ascii="Arial" w:eastAsia="Calibri" w:hAnsi="Arial" w:cs="Arial"/>
          <w:b/>
          <w:bCs/>
          <w:lang w:bidi="de-DE"/>
        </w:rPr>
      </w:pPr>
    </w:p>
    <w:p w:rsidR="002A4610" w:rsidRPr="002A4610" w:rsidRDefault="002A4610" w:rsidP="002A4610">
      <w:pPr>
        <w:jc w:val="both"/>
        <w:rPr>
          <w:rFonts w:ascii="Arial" w:eastAsia="Calibri" w:hAnsi="Arial" w:cs="Arial"/>
          <w:b/>
          <w:bCs/>
          <w:lang w:bidi="de-DE"/>
        </w:rPr>
      </w:pPr>
    </w:p>
    <w:p w:rsidR="002A4610" w:rsidRPr="002A4610" w:rsidRDefault="002A4610" w:rsidP="002A4610">
      <w:pPr>
        <w:jc w:val="both"/>
        <w:rPr>
          <w:rFonts w:ascii="Arial" w:eastAsia="Calibri" w:hAnsi="Arial" w:cs="Arial"/>
          <w:b/>
          <w:bCs/>
          <w:lang w:bidi="de-DE"/>
        </w:rPr>
      </w:pPr>
      <w:r w:rsidRPr="002A4610">
        <w:rPr>
          <w:rFonts w:ascii="Arial" w:eastAsia="Calibri" w:hAnsi="Arial" w:cs="Arial"/>
          <w:b/>
          <w:bCs/>
          <w:lang w:bidi="de-DE"/>
        </w:rPr>
        <w:t xml:space="preserve">Die Gemeinden werden gebeten, alle Kollekten zeitnah nur an ihren jeweiligen Kirchenkreis zu überweisen. </w:t>
      </w:r>
    </w:p>
    <w:p w:rsidR="002A4610" w:rsidRPr="002A4610" w:rsidRDefault="002A4610" w:rsidP="002A4610">
      <w:pPr>
        <w:jc w:val="both"/>
        <w:rPr>
          <w:rFonts w:ascii="Arial" w:eastAsia="Calibri" w:hAnsi="Arial" w:cs="Arial"/>
          <w:b/>
          <w:bCs/>
          <w:lang w:bidi="de-DE"/>
        </w:rPr>
      </w:pPr>
      <w:r w:rsidRPr="002A4610">
        <w:rPr>
          <w:rFonts w:ascii="Arial" w:eastAsia="Calibri" w:hAnsi="Arial" w:cs="Arial"/>
          <w:b/>
          <w:bCs/>
          <w:lang w:bidi="de-DE"/>
        </w:rPr>
        <w:t>Bitte keine Direktüberweisungen an die Träger der Kollekten.</w:t>
      </w:r>
    </w:p>
    <w:p w:rsidR="002A4610" w:rsidRPr="002A4610" w:rsidRDefault="002A4610" w:rsidP="002A4610">
      <w:pPr>
        <w:jc w:val="both"/>
        <w:rPr>
          <w:rFonts w:ascii="Arial" w:eastAsia="Calibri" w:hAnsi="Arial" w:cs="Arial"/>
          <w:b/>
          <w:bCs/>
          <w:lang w:bidi="de-DE"/>
        </w:rPr>
      </w:pPr>
      <w:r w:rsidRPr="002A4610">
        <w:rPr>
          <w:rFonts w:ascii="Arial" w:eastAsia="Calibri" w:hAnsi="Arial" w:cs="Arial"/>
          <w:b/>
          <w:bCs/>
          <w:lang w:bidi="de-DE"/>
        </w:rPr>
        <w:t>Die Kirchenkreise leiten bitte den vollständigen Kollektenertrag (Aufkommen aus jeder Kirchengemeinde) innerhalb von sechs Wochen an die Empfänger der Kollekten weiter.</w:t>
      </w:r>
    </w:p>
    <w:p w:rsidR="002A4610" w:rsidRPr="002A4610" w:rsidRDefault="002A4610" w:rsidP="002A4610">
      <w:pPr>
        <w:jc w:val="both"/>
        <w:rPr>
          <w:rFonts w:ascii="Arial" w:eastAsia="Calibri" w:hAnsi="Arial" w:cs="Arial"/>
          <w:b/>
          <w:bCs/>
          <w:lang w:bidi="de-DE"/>
        </w:rPr>
      </w:pPr>
    </w:p>
    <w:p w:rsidR="002A4610" w:rsidRPr="002A4610" w:rsidRDefault="002A4610" w:rsidP="002A4610">
      <w:pPr>
        <w:jc w:val="both"/>
        <w:rPr>
          <w:rFonts w:ascii="Arial" w:eastAsia="Calibri" w:hAnsi="Arial" w:cs="Arial"/>
          <w:bCs/>
          <w:lang w:bidi="de-DE"/>
        </w:rPr>
      </w:pPr>
    </w:p>
    <w:p w:rsidR="009A0359" w:rsidRDefault="000A40EF" w:rsidP="009A0359">
      <w:pPr>
        <w:jc w:val="both"/>
        <w:rPr>
          <w:rFonts w:ascii="Arial" w:eastAsia="Calibri" w:hAnsi="Arial" w:cs="Arial"/>
          <w:bCs/>
        </w:rPr>
      </w:pPr>
      <w:r>
        <w:rPr>
          <w:rFonts w:ascii="Arial" w:eastAsia="Calibri" w:hAnsi="Arial" w:cs="Arial"/>
          <w:bCs/>
        </w:rPr>
        <w:t>Az: 6110 – 02 T Jü</w:t>
      </w:r>
      <w:r w:rsidR="006A0525">
        <w:rPr>
          <w:rFonts w:ascii="Arial" w:eastAsia="Calibri" w:hAnsi="Arial" w:cs="Arial"/>
          <w:bCs/>
        </w:rPr>
        <w:t xml:space="preserve">                                                                                   </w:t>
      </w:r>
      <w:bookmarkStart w:id="0" w:name="_GoBack"/>
      <w:bookmarkEnd w:id="0"/>
      <w:r w:rsidR="006A0525">
        <w:rPr>
          <w:rFonts w:ascii="Arial" w:eastAsia="Calibri" w:hAnsi="Arial" w:cs="Arial"/>
          <w:bCs/>
        </w:rPr>
        <w:t xml:space="preserve">       Jürß</w:t>
      </w: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sectPr w:rsidR="00D36C2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0A40EF"/>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A4610"/>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3D77"/>
    <w:rsid w:val="0067469C"/>
    <w:rsid w:val="006A0525"/>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865293979">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4</cp:revision>
  <cp:lastPrinted>2010-06-09T06:01:00Z</cp:lastPrinted>
  <dcterms:created xsi:type="dcterms:W3CDTF">2023-01-19T07:20:00Z</dcterms:created>
  <dcterms:modified xsi:type="dcterms:W3CDTF">2023-02-13T11:15:00Z</dcterms:modified>
</cp:coreProperties>
</file>